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C8F2" w14:textId="77777777" w:rsidR="00214286" w:rsidRDefault="00214286">
      <w:pPr>
        <w:spacing w:after="80" w:line="200" w:lineRule="auto"/>
      </w:pPr>
    </w:p>
    <w:p w14:paraId="5A37C2FB" w14:textId="77777777" w:rsidR="00214286" w:rsidRDefault="00000000">
      <w:pPr>
        <w:spacing w:after="60" w:line="280" w:lineRule="auto"/>
      </w:pPr>
      <w:r>
        <w:rPr>
          <w:rFonts w:ascii="Fraunces" w:eastAsia="Fraunces" w:hAnsi="Fraunces" w:cs="Fraunces"/>
          <w:b/>
          <w:bCs/>
          <w:color w:val="0E1E3A"/>
          <w:sz w:val="40"/>
          <w:szCs w:val="40"/>
        </w:rPr>
        <w:t>Event ROI Measurement Contract</w:t>
      </w:r>
    </w:p>
    <w:p w14:paraId="283FF392" w14:textId="77777777" w:rsidR="00214286" w:rsidRDefault="00000000">
      <w:pPr>
        <w:spacing w:after="100" w:line="260" w:lineRule="auto"/>
      </w:pPr>
      <w:r>
        <w:rPr>
          <w:i/>
          <w:iCs/>
          <w:color w:val="1A1A1A"/>
          <w:sz w:val="20"/>
          <w:szCs w:val="20"/>
        </w:rPr>
        <w:t>A pre-event alignment framework for marketing, sales, and event leadership.</w:t>
      </w:r>
    </w:p>
    <w:p w14:paraId="38700075" w14:textId="77777777" w:rsidR="00214286" w:rsidRDefault="00000000">
      <w:pPr>
        <w:spacing w:after="120" w:line="260" w:lineRule="auto"/>
      </w:pPr>
      <w:r>
        <w:rPr>
          <w:b/>
          <w:bCs/>
          <w:color w:val="1A1A1A"/>
        </w:rPr>
        <w:t xml:space="preserve">Sign before you plan. </w:t>
      </w:r>
      <w:r>
        <w:rPr>
          <w:color w:val="1A1A1A"/>
        </w:rPr>
        <w:t>This one-page agreement defines outcomes, metrics, attribution, and ownership before the event — when there's still time to influence the data.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14286" w14:paraId="73CE479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BCE48DE" w14:textId="77777777" w:rsidR="00214286" w:rsidRDefault="00000000">
            <w:pPr>
              <w:spacing w:line="28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EVENT  </w:t>
            </w:r>
            <w:r>
              <w:rPr>
                <w:color w:val="1A1A1A"/>
              </w:rPr>
              <w:t xml:space="preserve">_____________________________        </w:t>
            </w:r>
            <w:r>
              <w:rPr>
                <w:b/>
                <w:bCs/>
                <w:color w:val="0E1E3A"/>
                <w:sz w:val="14"/>
                <w:szCs w:val="14"/>
              </w:rPr>
              <w:t xml:space="preserve">DATE  </w:t>
            </w:r>
            <w:r>
              <w:rPr>
                <w:color w:val="1A1A1A"/>
              </w:rPr>
              <w:t xml:space="preserve">____________________        </w:t>
            </w:r>
            <w:r>
              <w:rPr>
                <w:b/>
                <w:bCs/>
                <w:color w:val="0E1E3A"/>
                <w:sz w:val="14"/>
                <w:szCs w:val="14"/>
              </w:rPr>
              <w:t xml:space="preserve">OWNER  </w:t>
            </w:r>
            <w:r>
              <w:rPr>
                <w:color w:val="1A1A1A"/>
              </w:rPr>
              <w:t>____________________</w:t>
            </w:r>
          </w:p>
        </w:tc>
      </w:tr>
    </w:tbl>
    <w:p w14:paraId="4B9E1924" w14:textId="77777777" w:rsidR="00214286" w:rsidRDefault="00214286">
      <w:pPr>
        <w:spacing w:after="60" w:line="200" w:lineRule="auto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14286" w14:paraId="736DED7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B376275" w14:textId="77777777" w:rsidR="00214286" w:rsidRDefault="00000000">
            <w:pPr>
              <w:spacing w:after="40" w:line="260" w:lineRule="auto"/>
            </w:pPr>
            <w:r>
              <w:rPr>
                <w:rFonts w:ascii="Fraunces" w:eastAsia="Fraunces" w:hAnsi="Fraunces" w:cs="Fraunces"/>
                <w:b/>
                <w:bCs/>
                <w:color w:val="0E1E3A"/>
                <w:sz w:val="22"/>
                <w:szCs w:val="22"/>
              </w:rPr>
              <w:t>1.  Outcomes</w:t>
            </w:r>
          </w:p>
          <w:p w14:paraId="66C8D6F4" w14:textId="77777777" w:rsidR="00214286" w:rsidRDefault="00000000">
            <w:pPr>
              <w:spacing w:after="100"/>
            </w:pPr>
            <w:r>
              <w:rPr>
                <w:i/>
                <w:iCs/>
                <w:color w:val="1A1A1A"/>
                <w:sz w:val="16"/>
                <w:szCs w:val="16"/>
              </w:rPr>
              <w:t>The top 2 to 3 business outcomes this event will influence. Pick from: new pipeline · expansion pipeline · retention · brand lift · product feedback · internal alignment.</w:t>
            </w:r>
          </w:p>
          <w:p w14:paraId="41EB2E2D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①  </w:t>
            </w:r>
            <w:r>
              <w:rPr>
                <w:color w:val="1A1A1A"/>
              </w:rPr>
              <w:t>__________________________________________________________________________</w:t>
            </w:r>
          </w:p>
          <w:p w14:paraId="76573E86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②  </w:t>
            </w:r>
            <w:r>
              <w:rPr>
                <w:color w:val="1A1A1A"/>
              </w:rPr>
              <w:t>__________________________________________________________________________</w:t>
            </w:r>
          </w:p>
          <w:p w14:paraId="0C069424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③  </w:t>
            </w:r>
            <w:r>
              <w:rPr>
                <w:color w:val="1A1A1A"/>
              </w:rPr>
              <w:t>__________________________________________________________________________</w:t>
            </w:r>
          </w:p>
        </w:tc>
      </w:tr>
    </w:tbl>
    <w:p w14:paraId="5B3CA807" w14:textId="77777777" w:rsidR="00214286" w:rsidRDefault="00214286">
      <w:pPr>
        <w:spacing w:after="60" w:line="200" w:lineRule="auto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14286" w14:paraId="01D9BFA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410709A8" w14:textId="77777777" w:rsidR="00214286" w:rsidRDefault="00000000">
            <w:pPr>
              <w:spacing w:after="40" w:line="260" w:lineRule="auto"/>
            </w:pPr>
            <w:r>
              <w:rPr>
                <w:rFonts w:ascii="Fraunces" w:eastAsia="Fraunces" w:hAnsi="Fraunces" w:cs="Fraunces"/>
                <w:b/>
                <w:bCs/>
                <w:color w:val="0E1E3A"/>
                <w:sz w:val="22"/>
                <w:szCs w:val="22"/>
              </w:rPr>
              <w:t>2.  Metrics</w:t>
            </w:r>
          </w:p>
          <w:p w14:paraId="460A4833" w14:textId="77777777" w:rsidR="00214286" w:rsidRDefault="00000000">
            <w:pPr>
              <w:spacing w:after="100"/>
            </w:pPr>
            <w:r>
              <w:rPr>
                <w:i/>
                <w:iCs/>
                <w:color w:val="1A1A1A"/>
                <w:sz w:val="16"/>
                <w:szCs w:val="16"/>
              </w:rPr>
              <w:t>Specific, measurable, time-bound targets for each outcome above. Example: $2M influenced pipeline within 90 days of event close.</w:t>
            </w:r>
          </w:p>
          <w:p w14:paraId="1380A206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①  </w:t>
            </w:r>
            <w:r>
              <w:rPr>
                <w:color w:val="1A1A1A"/>
              </w:rPr>
              <w:t>__________________________________________________________________________</w:t>
            </w:r>
          </w:p>
          <w:p w14:paraId="48D47D52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②  </w:t>
            </w:r>
            <w:r>
              <w:rPr>
                <w:color w:val="1A1A1A"/>
              </w:rPr>
              <w:t>__________________________________________________________________________</w:t>
            </w:r>
          </w:p>
          <w:p w14:paraId="1AD89506" w14:textId="77777777" w:rsidR="00214286" w:rsidRDefault="00000000">
            <w:pPr>
              <w:spacing w:after="40" w:line="260" w:lineRule="auto"/>
            </w:pPr>
            <w:r>
              <w:rPr>
                <w:b/>
                <w:bCs/>
                <w:color w:val="0E1E3A"/>
                <w:sz w:val="14"/>
                <w:szCs w:val="14"/>
              </w:rPr>
              <w:t xml:space="preserve">③  </w:t>
            </w:r>
            <w:r>
              <w:rPr>
                <w:color w:val="1A1A1A"/>
              </w:rPr>
              <w:t>__________________________________________________________________________</w:t>
            </w:r>
          </w:p>
        </w:tc>
      </w:tr>
    </w:tbl>
    <w:p w14:paraId="199B280A" w14:textId="77777777" w:rsidR="00214286" w:rsidRDefault="00214286">
      <w:pPr>
        <w:spacing w:after="60" w:line="200" w:lineRule="auto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14286" w14:paraId="4A12F78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05BD974" w14:textId="77777777" w:rsidR="00214286" w:rsidRDefault="00000000">
            <w:pPr>
              <w:spacing w:after="40" w:line="260" w:lineRule="auto"/>
            </w:pPr>
            <w:r>
              <w:rPr>
                <w:rFonts w:ascii="Fraunces" w:eastAsia="Fraunces" w:hAnsi="Fraunces" w:cs="Fraunces"/>
                <w:b/>
                <w:bCs/>
                <w:color w:val="0E1E3A"/>
                <w:sz w:val="22"/>
                <w:szCs w:val="22"/>
              </w:rPr>
              <w:t>3.  Attribution</w:t>
            </w:r>
          </w:p>
          <w:p w14:paraId="0EB23579" w14:textId="77777777" w:rsidR="00214286" w:rsidRDefault="00000000">
            <w:pPr>
              <w:spacing w:after="100"/>
            </w:pPr>
            <w:r>
              <w:rPr>
                <w:i/>
                <w:iCs/>
                <w:color w:val="1A1A1A"/>
                <w:sz w:val="16"/>
                <w:szCs w:val="16"/>
              </w:rPr>
              <w:t>How we will count an opportunity as event-influenced. Choose one primary model.</w:t>
            </w:r>
          </w:p>
          <w:p w14:paraId="65BA2006" w14:textId="77777777" w:rsidR="00214286" w:rsidRDefault="00000000">
            <w:pPr>
              <w:spacing w:after="50" w:line="260" w:lineRule="auto"/>
            </w:pPr>
            <w:r>
              <w:rPr>
                <w:color w:val="0E1E3A"/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0E1E3A"/>
                <w:sz w:val="17"/>
                <w:szCs w:val="17"/>
              </w:rPr>
              <w:t xml:space="preserve">First-touch </w:t>
            </w:r>
            <w:r>
              <w:rPr>
                <w:color w:val="1A1A1A"/>
                <w:sz w:val="17"/>
                <w:szCs w:val="17"/>
              </w:rPr>
              <w:t>— registrants who become opportunities within 90 days of the event.</w:t>
            </w:r>
          </w:p>
          <w:p w14:paraId="306B6172" w14:textId="77777777" w:rsidR="00214286" w:rsidRDefault="00000000">
            <w:pPr>
              <w:spacing w:after="50" w:line="260" w:lineRule="auto"/>
            </w:pPr>
            <w:r>
              <w:rPr>
                <w:color w:val="0E1E3A"/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0E1E3A"/>
                <w:sz w:val="17"/>
                <w:szCs w:val="17"/>
              </w:rPr>
              <w:t xml:space="preserve">Sales-confirmed </w:t>
            </w:r>
            <w:r>
              <w:rPr>
                <w:color w:val="1A1A1A"/>
                <w:sz w:val="17"/>
                <w:szCs w:val="17"/>
              </w:rPr>
              <w:t>— opportunities where the rep logs an event touchpoint within 30 days.</w:t>
            </w:r>
          </w:p>
          <w:p w14:paraId="22860F08" w14:textId="77777777" w:rsidR="00214286" w:rsidRDefault="00000000">
            <w:pPr>
              <w:spacing w:after="50" w:line="260" w:lineRule="auto"/>
            </w:pPr>
            <w:r>
              <w:rPr>
                <w:color w:val="0E1E3A"/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0E1E3A"/>
                <w:sz w:val="17"/>
                <w:szCs w:val="17"/>
              </w:rPr>
              <w:t xml:space="preserve">Cohort comparison </w:t>
            </w:r>
            <w:r>
              <w:rPr>
                <w:color w:val="1A1A1A"/>
                <w:sz w:val="17"/>
                <w:szCs w:val="17"/>
              </w:rPr>
              <w:t>— attended versus matched non-attended accounts over 90 or 180 days.</w:t>
            </w:r>
          </w:p>
          <w:p w14:paraId="0BFB7DBA" w14:textId="77777777" w:rsidR="00214286" w:rsidRDefault="00000000">
            <w:pPr>
              <w:spacing w:line="260" w:lineRule="auto"/>
            </w:pPr>
            <w:r>
              <w:rPr>
                <w:color w:val="0E1E3A"/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0E1E3A"/>
                <w:sz w:val="17"/>
                <w:szCs w:val="17"/>
              </w:rPr>
              <w:t xml:space="preserve">Other: </w:t>
            </w:r>
            <w:r>
              <w:rPr>
                <w:color w:val="1A1A1A"/>
                <w:sz w:val="17"/>
                <w:szCs w:val="17"/>
              </w:rPr>
              <w:t>___________________________________________________________</w:t>
            </w:r>
          </w:p>
        </w:tc>
      </w:tr>
    </w:tbl>
    <w:p w14:paraId="54AFB1CA" w14:textId="77777777" w:rsidR="00214286" w:rsidRDefault="00214286">
      <w:pPr>
        <w:spacing w:after="60" w:line="200" w:lineRule="auto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14286" w14:paraId="0C85B7F4" w14:textId="77777777" w:rsidTr="00D2482B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3447CDA" w14:textId="77777777" w:rsidR="00214286" w:rsidRDefault="00000000">
            <w:pPr>
              <w:spacing w:after="40" w:line="260" w:lineRule="auto"/>
            </w:pPr>
            <w:r>
              <w:rPr>
                <w:rFonts w:ascii="Fraunces" w:eastAsia="Fraunces" w:hAnsi="Fraunces" w:cs="Fraunces"/>
                <w:b/>
                <w:bCs/>
                <w:color w:val="0E1E3A"/>
                <w:sz w:val="22"/>
                <w:szCs w:val="22"/>
              </w:rPr>
              <w:t>4.  Data ownership</w:t>
            </w:r>
          </w:p>
          <w:p w14:paraId="2576BBAC" w14:textId="77777777" w:rsidR="00214286" w:rsidRDefault="00000000">
            <w:pPr>
              <w:spacing w:after="100"/>
            </w:pPr>
            <w:r>
              <w:rPr>
                <w:i/>
                <w:iCs/>
                <w:color w:val="1A1A1A"/>
                <w:sz w:val="16"/>
                <w:szCs w:val="16"/>
              </w:rPr>
              <w:t>Who pulls each metric, from which system, on what cadence.</w:t>
            </w:r>
          </w:p>
          <w:tbl>
            <w:tblPr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2200"/>
              <w:gridCol w:w="2880"/>
              <w:gridCol w:w="2120"/>
            </w:tblGrid>
            <w:tr w:rsidR="00214286" w14:paraId="670B8C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ECE3D0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570A6E5B" w14:textId="77777777" w:rsidR="00214286" w:rsidRDefault="00000000">
                  <w:r>
                    <w:rPr>
                      <w:b/>
                      <w:bCs/>
                      <w:color w:val="0E1E3A"/>
                      <w:spacing w:val="40"/>
                      <w:sz w:val="14"/>
                      <w:szCs w:val="14"/>
                    </w:rPr>
                    <w:t>METRIC</w:t>
                  </w:r>
                </w:p>
              </w:tc>
              <w:tc>
                <w:tcPr>
                  <w:tcW w:w="22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ECE3D0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46386DBA" w14:textId="77777777" w:rsidR="00214286" w:rsidRDefault="00000000">
                  <w:r>
                    <w:rPr>
                      <w:b/>
                      <w:bCs/>
                      <w:color w:val="0E1E3A"/>
                      <w:spacing w:val="40"/>
                      <w:sz w:val="14"/>
                      <w:szCs w:val="14"/>
                    </w:rPr>
                    <w:t>OWNER</w:t>
                  </w:r>
                </w:p>
              </w:tc>
              <w:tc>
                <w:tcPr>
                  <w:tcW w:w="288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ECE3D0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7DD65C26" w14:textId="77777777" w:rsidR="00214286" w:rsidRDefault="00000000">
                  <w:r>
                    <w:rPr>
                      <w:b/>
                      <w:bCs/>
                      <w:color w:val="0E1E3A"/>
                      <w:spacing w:val="40"/>
                      <w:sz w:val="14"/>
                      <w:szCs w:val="14"/>
                    </w:rPr>
                    <w:t>SOURCE</w:t>
                  </w:r>
                </w:p>
              </w:tc>
              <w:tc>
                <w:tcPr>
                  <w:tcW w:w="212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ECE3D0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239A0702" w14:textId="77777777" w:rsidR="00214286" w:rsidRDefault="00000000">
                  <w:r>
                    <w:rPr>
                      <w:b/>
                      <w:bCs/>
                      <w:color w:val="0E1E3A"/>
                      <w:spacing w:val="40"/>
                      <w:sz w:val="14"/>
                      <w:szCs w:val="14"/>
                    </w:rPr>
                    <w:t>CADENCE</w:t>
                  </w:r>
                </w:p>
              </w:tc>
            </w:tr>
            <w:tr w:rsidR="00214286" w14:paraId="73692705" w14:textId="77777777" w:rsidTr="00D2482B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</w:trPr>
              <w:tc>
                <w:tcPr>
                  <w:tcW w:w="24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410A9A03" w14:textId="77777777" w:rsidR="00214286" w:rsidRDefault="00214286"/>
              </w:tc>
              <w:tc>
                <w:tcPr>
                  <w:tcW w:w="22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4EC33364" w14:textId="77777777" w:rsidR="00214286" w:rsidRDefault="00214286"/>
              </w:tc>
              <w:tc>
                <w:tcPr>
                  <w:tcW w:w="288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3197560D" w14:textId="77777777" w:rsidR="00214286" w:rsidRDefault="00214286"/>
              </w:tc>
              <w:tc>
                <w:tcPr>
                  <w:tcW w:w="212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15CCF895" w14:textId="77777777" w:rsidR="00214286" w:rsidRDefault="00214286"/>
              </w:tc>
            </w:tr>
            <w:tr w:rsidR="00214286" w14:paraId="42163B71" w14:textId="77777777" w:rsidTr="00D2482B">
              <w:tblPrEx>
                <w:tblCellMar>
                  <w:top w:w="0" w:type="dxa"/>
                  <w:bottom w:w="0" w:type="dxa"/>
                </w:tblCellMar>
              </w:tblPrEx>
              <w:trPr>
                <w:trHeight w:val="181"/>
              </w:trPr>
              <w:tc>
                <w:tcPr>
                  <w:tcW w:w="24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240AE22E" w14:textId="77777777" w:rsidR="00214286" w:rsidRDefault="00214286"/>
              </w:tc>
              <w:tc>
                <w:tcPr>
                  <w:tcW w:w="22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5093BFD3" w14:textId="77777777" w:rsidR="00214286" w:rsidRDefault="00214286"/>
              </w:tc>
              <w:tc>
                <w:tcPr>
                  <w:tcW w:w="288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4F32D592" w14:textId="77777777" w:rsidR="00214286" w:rsidRDefault="00214286"/>
              </w:tc>
              <w:tc>
                <w:tcPr>
                  <w:tcW w:w="212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6C382CA9" w14:textId="77777777" w:rsidR="00214286" w:rsidRDefault="00214286"/>
              </w:tc>
            </w:tr>
            <w:tr w:rsidR="00214286" w14:paraId="5B43628E" w14:textId="77777777" w:rsidTr="00D2482B">
              <w:tblPrEx>
                <w:tblCellMar>
                  <w:top w:w="0" w:type="dxa"/>
                  <w:bottom w:w="0" w:type="dxa"/>
                </w:tblCellMar>
              </w:tblPrEx>
              <w:trPr>
                <w:trHeight w:val="101"/>
              </w:trPr>
              <w:tc>
                <w:tcPr>
                  <w:tcW w:w="24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69F33531" w14:textId="77777777" w:rsidR="00214286" w:rsidRDefault="00214286"/>
              </w:tc>
              <w:tc>
                <w:tcPr>
                  <w:tcW w:w="220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324C7C28" w14:textId="77777777" w:rsidR="00214286" w:rsidRDefault="00214286"/>
              </w:tc>
              <w:tc>
                <w:tcPr>
                  <w:tcW w:w="288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3B43DED4" w14:textId="77777777" w:rsidR="00214286" w:rsidRDefault="00214286"/>
              </w:tc>
              <w:tc>
                <w:tcPr>
                  <w:tcW w:w="2120" w:type="dxa"/>
                  <w:tcBorders>
                    <w:top w:val="single" w:sz="3" w:space="0" w:color="D6CFC0"/>
                    <w:left w:val="single" w:sz="3" w:space="0" w:color="D6CFC0"/>
                    <w:bottom w:val="single" w:sz="3" w:space="0" w:color="D6CFC0"/>
                    <w:right w:val="single" w:sz="3" w:space="0" w:color="D6CFC0"/>
                  </w:tcBorders>
                  <w:shd w:val="clear" w:color="auto" w:fill="FFFFFF"/>
                  <w:tcMar>
                    <w:top w:w="120" w:type="dxa"/>
                    <w:left w:w="140" w:type="dxa"/>
                    <w:bottom w:w="120" w:type="dxa"/>
                    <w:right w:w="100" w:type="dxa"/>
                  </w:tcMar>
                </w:tcPr>
                <w:p w14:paraId="35C82BC1" w14:textId="77777777" w:rsidR="00214286" w:rsidRDefault="00214286"/>
              </w:tc>
            </w:tr>
          </w:tbl>
          <w:p w14:paraId="4328BA73" w14:textId="77777777" w:rsidR="00214286" w:rsidRDefault="00214286"/>
        </w:tc>
      </w:tr>
    </w:tbl>
    <w:p w14:paraId="00EECDE2" w14:textId="77777777" w:rsidR="00214286" w:rsidRDefault="00214286">
      <w:pPr>
        <w:spacing w:after="80" w:line="200" w:lineRule="auto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214286" w14:paraId="4680A79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60" w:type="dxa"/>
            </w:tcMar>
          </w:tcPr>
          <w:p w14:paraId="645CFA17" w14:textId="77777777" w:rsidR="00214286" w:rsidRDefault="00000000">
            <w:pPr>
              <w:spacing w:after="40"/>
            </w:pPr>
            <w:r>
              <w:rPr>
                <w:color w:val="1A1A1A"/>
              </w:rPr>
              <w:t>_____________________________</w:t>
            </w:r>
          </w:p>
          <w:p w14:paraId="5DF33DE4" w14:textId="77777777" w:rsidR="00214286" w:rsidRDefault="00000000">
            <w:r>
              <w:rPr>
                <w:b/>
                <w:bCs/>
                <w:color w:val="0E1E3A"/>
                <w:spacing w:val="40"/>
                <w:sz w:val="14"/>
                <w:szCs w:val="14"/>
              </w:rPr>
              <w:t>MARKETING LEAD</w:t>
            </w:r>
          </w:p>
        </w:tc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60" w:type="dxa"/>
            </w:tcMar>
          </w:tcPr>
          <w:p w14:paraId="579A2A98" w14:textId="77777777" w:rsidR="00214286" w:rsidRDefault="00000000">
            <w:pPr>
              <w:spacing w:after="40"/>
            </w:pPr>
            <w:r>
              <w:rPr>
                <w:color w:val="1A1A1A"/>
              </w:rPr>
              <w:t>_____________________________</w:t>
            </w:r>
          </w:p>
          <w:p w14:paraId="5060F018" w14:textId="77777777" w:rsidR="00214286" w:rsidRDefault="00000000">
            <w:r>
              <w:rPr>
                <w:b/>
                <w:bCs/>
                <w:color w:val="0E1E3A"/>
                <w:spacing w:val="40"/>
                <w:sz w:val="14"/>
                <w:szCs w:val="14"/>
              </w:rPr>
              <w:t>SALES LEAD</w:t>
            </w:r>
          </w:p>
        </w:tc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60" w:type="dxa"/>
            </w:tcMar>
          </w:tcPr>
          <w:p w14:paraId="31E7B19F" w14:textId="77777777" w:rsidR="00214286" w:rsidRDefault="00000000">
            <w:pPr>
              <w:spacing w:after="40"/>
            </w:pPr>
            <w:r>
              <w:rPr>
                <w:color w:val="1A1A1A"/>
              </w:rPr>
              <w:t>_____________________________</w:t>
            </w:r>
          </w:p>
          <w:p w14:paraId="2095DFA1" w14:textId="77777777" w:rsidR="00214286" w:rsidRDefault="00000000">
            <w:r>
              <w:rPr>
                <w:b/>
                <w:bCs/>
                <w:color w:val="0E1E3A"/>
                <w:spacing w:val="40"/>
                <w:sz w:val="14"/>
                <w:szCs w:val="14"/>
              </w:rPr>
              <w:t>FINANCE PARTNER</w:t>
            </w:r>
          </w:p>
        </w:tc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160" w:type="dxa"/>
            </w:tcMar>
          </w:tcPr>
          <w:p w14:paraId="30B0E62D" w14:textId="77777777" w:rsidR="00214286" w:rsidRDefault="00000000">
            <w:pPr>
              <w:spacing w:after="40"/>
            </w:pPr>
            <w:r>
              <w:rPr>
                <w:color w:val="1A1A1A"/>
              </w:rPr>
              <w:t>_____________________________</w:t>
            </w:r>
          </w:p>
          <w:p w14:paraId="21D07505" w14:textId="77777777" w:rsidR="00214286" w:rsidRDefault="00000000">
            <w:pPr>
              <w:rPr>
                <w:b/>
                <w:bCs/>
                <w:color w:val="0E1E3A"/>
                <w:spacing w:val="40"/>
                <w:sz w:val="14"/>
                <w:szCs w:val="14"/>
              </w:rPr>
            </w:pPr>
            <w:r>
              <w:rPr>
                <w:b/>
                <w:bCs/>
                <w:color w:val="0E1E3A"/>
                <w:spacing w:val="40"/>
                <w:sz w:val="14"/>
                <w:szCs w:val="14"/>
              </w:rPr>
              <w:t>EVENT LEAD</w:t>
            </w:r>
          </w:p>
          <w:p w14:paraId="0D7B1927" w14:textId="77777777" w:rsidR="00D2482B" w:rsidRDefault="00D2482B"/>
        </w:tc>
      </w:tr>
    </w:tbl>
    <w:p w14:paraId="50AAFF96" w14:textId="77777777" w:rsidR="00AF38E3" w:rsidRDefault="00AF38E3" w:rsidP="00D2482B"/>
    <w:sectPr w:rsidR="00AF38E3">
      <w:headerReference w:type="default" r:id="rId7"/>
      <w:footerReference w:type="default" r:id="rId8"/>
      <w:pgSz w:w="12240" w:h="15840"/>
      <w:pgMar w:top="1080" w:right="1080" w:bottom="720" w:left="1080" w:header="70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BBB7" w14:textId="77777777" w:rsidR="00AF38E3" w:rsidRDefault="00AF38E3">
      <w:r>
        <w:separator/>
      </w:r>
    </w:p>
  </w:endnote>
  <w:endnote w:type="continuationSeparator" w:id="0">
    <w:p w14:paraId="48412ABE" w14:textId="77777777" w:rsidR="00AF38E3" w:rsidRDefault="00AF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unce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5363" w14:textId="77777777" w:rsidR="00214286" w:rsidRDefault="00000000">
    <w:pPr>
      <w:spacing w:line="220" w:lineRule="auto"/>
      <w:jc w:val="center"/>
    </w:pPr>
    <w:r>
      <w:rPr>
        <w:color w:val="0E1E3A"/>
        <w:spacing w:val="30"/>
        <w:sz w:val="14"/>
        <w:szCs w:val="14"/>
      </w:rPr>
      <w:t xml:space="preserve">Template by CDM · </w:t>
    </w:r>
    <w:r>
      <w:rPr>
        <w:i/>
        <w:iCs/>
        <w:color w:val="1A1A1A"/>
        <w:sz w:val="14"/>
        <w:szCs w:val="14"/>
      </w:rPr>
      <w:t>Drawn from the Event ROI series.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37D4" w14:textId="77777777" w:rsidR="00AF38E3" w:rsidRDefault="00AF38E3">
      <w:r>
        <w:separator/>
      </w:r>
    </w:p>
  </w:footnote>
  <w:footnote w:type="continuationSeparator" w:id="0">
    <w:p w14:paraId="07BAB27D" w14:textId="77777777" w:rsidR="00AF38E3" w:rsidRDefault="00AF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882D" w14:textId="77777777" w:rsidR="00D2482B" w:rsidRDefault="00D2482B" w:rsidP="00D2482B">
    <w:pPr>
      <w:pStyle w:val="Header"/>
      <w:shd w:val="clear" w:color="auto" w:fill="0E2841" w:themeFill="text2"/>
      <w:rPr>
        <w:noProof/>
      </w:rPr>
    </w:pPr>
    <w:r>
      <w:rPr>
        <w:noProof/>
      </w:rPr>
      <w:t xml:space="preserve">      </w:t>
    </w:r>
  </w:p>
  <w:p w14:paraId="76C09CD3" w14:textId="085417A2" w:rsidR="00D2482B" w:rsidRDefault="00D2482B" w:rsidP="00D2482B">
    <w:pPr>
      <w:pStyle w:val="Header"/>
      <w:shd w:val="clear" w:color="auto" w:fill="0E2841" w:themeFill="text2"/>
      <w:jc w:val="right"/>
      <w:rPr>
        <w:b/>
        <w:bCs/>
        <w:color w:val="C4704A"/>
        <w:spacing w:val="60"/>
        <w:sz w:val="16"/>
        <w:szCs w:val="16"/>
      </w:rPr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1A423C09" wp14:editId="7A05D7B1">
          <wp:extent cx="937260" cy="647700"/>
          <wp:effectExtent l="0" t="0" r="0" b="0"/>
          <wp:docPr id="1514130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30599" name="Picture 1514130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3" b="21951"/>
                  <a:stretch>
                    <a:fillRect/>
                  </a:stretch>
                </pic:blipFill>
                <pic:spPr bwMode="auto">
                  <a:xfrm>
                    <a:off x="0" y="0"/>
                    <a:ext cx="937269" cy="64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</w:t>
    </w:r>
    <w:r>
      <w:rPr>
        <w:b/>
        <w:bCs/>
        <w:color w:val="C4704A"/>
        <w:spacing w:val="60"/>
        <w:sz w:val="16"/>
        <w:szCs w:val="16"/>
      </w:rPr>
      <w:t>TEMPLATE</w:t>
    </w:r>
  </w:p>
  <w:p w14:paraId="3A078752" w14:textId="77777777" w:rsidR="00D2482B" w:rsidRDefault="00D2482B" w:rsidP="00D2482B">
    <w:pPr>
      <w:pStyle w:val="Header"/>
      <w:shd w:val="clear" w:color="auto" w:fill="0E2841" w:themeFill="text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C37"/>
    <w:multiLevelType w:val="hybridMultilevel"/>
    <w:tmpl w:val="0D0AB50E"/>
    <w:lvl w:ilvl="0" w:tplc="84E47F68">
      <w:start w:val="1"/>
      <w:numFmt w:val="bullet"/>
      <w:lvlText w:val="●"/>
      <w:lvlJc w:val="left"/>
      <w:pPr>
        <w:ind w:left="720" w:hanging="360"/>
      </w:pPr>
    </w:lvl>
    <w:lvl w:ilvl="1" w:tplc="1E028114">
      <w:start w:val="1"/>
      <w:numFmt w:val="bullet"/>
      <w:lvlText w:val="○"/>
      <w:lvlJc w:val="left"/>
      <w:pPr>
        <w:ind w:left="1440" w:hanging="360"/>
      </w:pPr>
    </w:lvl>
    <w:lvl w:ilvl="2" w:tplc="848ED5C4">
      <w:start w:val="1"/>
      <w:numFmt w:val="bullet"/>
      <w:lvlText w:val="■"/>
      <w:lvlJc w:val="left"/>
      <w:pPr>
        <w:ind w:left="2160" w:hanging="360"/>
      </w:pPr>
    </w:lvl>
    <w:lvl w:ilvl="3" w:tplc="7032CD6C">
      <w:start w:val="1"/>
      <w:numFmt w:val="bullet"/>
      <w:lvlText w:val="●"/>
      <w:lvlJc w:val="left"/>
      <w:pPr>
        <w:ind w:left="2880" w:hanging="360"/>
      </w:pPr>
    </w:lvl>
    <w:lvl w:ilvl="4" w:tplc="49465054">
      <w:start w:val="1"/>
      <w:numFmt w:val="bullet"/>
      <w:lvlText w:val="○"/>
      <w:lvlJc w:val="left"/>
      <w:pPr>
        <w:ind w:left="3600" w:hanging="360"/>
      </w:pPr>
    </w:lvl>
    <w:lvl w:ilvl="5" w:tplc="3EB4F0E8">
      <w:start w:val="1"/>
      <w:numFmt w:val="bullet"/>
      <w:lvlText w:val="■"/>
      <w:lvlJc w:val="left"/>
      <w:pPr>
        <w:ind w:left="4320" w:hanging="360"/>
      </w:pPr>
    </w:lvl>
    <w:lvl w:ilvl="6" w:tplc="B2F0183C">
      <w:start w:val="1"/>
      <w:numFmt w:val="bullet"/>
      <w:lvlText w:val="●"/>
      <w:lvlJc w:val="left"/>
      <w:pPr>
        <w:ind w:left="5040" w:hanging="360"/>
      </w:pPr>
    </w:lvl>
    <w:lvl w:ilvl="7" w:tplc="1A56A7A8">
      <w:start w:val="1"/>
      <w:numFmt w:val="bullet"/>
      <w:lvlText w:val="●"/>
      <w:lvlJc w:val="left"/>
      <w:pPr>
        <w:ind w:left="5760" w:hanging="360"/>
      </w:pPr>
    </w:lvl>
    <w:lvl w:ilvl="8" w:tplc="70B09D64">
      <w:start w:val="1"/>
      <w:numFmt w:val="bullet"/>
      <w:lvlText w:val="●"/>
      <w:lvlJc w:val="left"/>
      <w:pPr>
        <w:ind w:left="6480" w:hanging="360"/>
      </w:pPr>
    </w:lvl>
  </w:abstractNum>
  <w:num w:numId="1" w16cid:durableId="9946509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86"/>
    <w:rsid w:val="00214286"/>
    <w:rsid w:val="002B0246"/>
    <w:rsid w:val="00AF38E3"/>
    <w:rsid w:val="00D2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06BE"/>
  <w15:docId w15:val="{BA3AD91A-5662-426B-981D-7DCB693A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82B"/>
  </w:style>
  <w:style w:type="paragraph" w:styleId="Footer">
    <w:name w:val="footer"/>
    <w:basedOn w:val="Normal"/>
    <w:link w:val="FooterChar"/>
    <w:uiPriority w:val="99"/>
    <w:unhideWhenUsed/>
    <w:rsid w:val="00D24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Caylee Donaldson</cp:lastModifiedBy>
  <cp:revision>2</cp:revision>
  <dcterms:created xsi:type="dcterms:W3CDTF">2026-05-23T19:54:00Z</dcterms:created>
  <dcterms:modified xsi:type="dcterms:W3CDTF">2026-05-23T19:54:00Z</dcterms:modified>
</cp:coreProperties>
</file>